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18" w:type="dxa"/>
        <w:tblBorders>
          <w:top w:val="single" w:sz="12" w:space="0" w:color="B2A1C7" w:themeColor="accent4" w:themeTint="99"/>
          <w:left w:val="single" w:sz="12" w:space="0" w:color="B2A1C7" w:themeColor="accent4" w:themeTint="99"/>
          <w:bottom w:val="single" w:sz="12" w:space="0" w:color="B2A1C7" w:themeColor="accent4" w:themeTint="99"/>
          <w:right w:val="single" w:sz="12" w:space="0" w:color="B2A1C7" w:themeColor="accent4" w:themeTint="99"/>
          <w:insideH w:val="none" w:sz="0" w:space="0" w:color="auto"/>
          <w:insideV w:val="none" w:sz="0" w:space="0" w:color="auto"/>
        </w:tblBorders>
        <w:tblLook w:val="04A0" w:firstRow="1" w:lastRow="0" w:firstColumn="1" w:lastColumn="0" w:noHBand="0" w:noVBand="1"/>
      </w:tblPr>
      <w:tblGrid>
        <w:gridCol w:w="3789"/>
        <w:gridCol w:w="5049"/>
      </w:tblGrid>
      <w:tr w:rsidR="00CA3CEE" w:rsidTr="00CA3CEE">
        <w:trPr>
          <w:trHeight w:val="1950"/>
          <w:jc w:val="center"/>
        </w:trPr>
        <w:tc>
          <w:tcPr>
            <w:tcW w:w="3789" w:type="dxa"/>
          </w:tcPr>
          <w:p w:rsidR="00CA3CEE" w:rsidRDefault="007B4108" w:rsidP="00CA3CEE">
            <w:pPr>
              <w:spacing w:before="120"/>
              <w:rPr>
                <w:rFonts w:ascii="Calibri" w:hAnsi="Calibri"/>
                <w:b/>
                <w:color w:val="1A2674"/>
                <w:sz w:val="40"/>
                <w:szCs w:val="54"/>
              </w:rPr>
            </w:pPr>
            <w:r>
              <w:rPr>
                <w:rFonts w:ascii="Calibri" w:hAnsi="Calibri"/>
                <w:b/>
                <w:noProof/>
                <w:color w:val="1A2674"/>
                <w:sz w:val="40"/>
                <w:szCs w:val="54"/>
              </w:rPr>
              <w:drawing>
                <wp:anchor distT="0" distB="0" distL="114300" distR="114300" simplePos="0" relativeHeight="251663360" behindDoc="0" locked="0" layoutInCell="1" allowOverlap="1">
                  <wp:simplePos x="0" y="0"/>
                  <wp:positionH relativeFrom="column">
                    <wp:posOffset>146685</wp:posOffset>
                  </wp:positionH>
                  <wp:positionV relativeFrom="paragraph">
                    <wp:posOffset>51810</wp:posOffset>
                  </wp:positionV>
                  <wp:extent cx="1803400" cy="1677008"/>
                  <wp:effectExtent l="0" t="0" r="0" b="0"/>
                  <wp:wrapNone/>
                  <wp:docPr id="3" name="Picture 3" descr="demonstratingvalue-venn-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onstratingvalue-venn-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041" cy="167667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9" w:type="dxa"/>
          </w:tcPr>
          <w:p w:rsidR="00CA3CEE" w:rsidRPr="002B056A" w:rsidRDefault="00CA3CEE" w:rsidP="00CA3CEE">
            <w:pPr>
              <w:spacing w:before="360"/>
              <w:rPr>
                <w:rFonts w:ascii="Calibri" w:hAnsi="Calibri"/>
                <w:b/>
                <w:color w:val="1A2674"/>
                <w:sz w:val="40"/>
                <w:szCs w:val="54"/>
              </w:rPr>
            </w:pPr>
            <w:r w:rsidRPr="002B056A">
              <w:rPr>
                <w:rFonts w:ascii="Calibri" w:hAnsi="Calibri"/>
                <w:b/>
                <w:color w:val="1A2674"/>
                <w:sz w:val="40"/>
                <w:szCs w:val="54"/>
              </w:rPr>
              <w:t>WORKSHEET:</w:t>
            </w:r>
          </w:p>
          <w:p w:rsidR="00CA3CEE" w:rsidRPr="007011C6" w:rsidRDefault="00CA3CEE" w:rsidP="00A961BC">
            <w:pPr>
              <w:spacing w:before="240"/>
              <w:jc w:val="left"/>
              <w:rPr>
                <w:i/>
              </w:rPr>
            </w:pPr>
            <w:r w:rsidRPr="007011C6">
              <w:rPr>
                <w:rFonts w:ascii="Calibri" w:hAnsi="Calibri"/>
                <w:i/>
                <w:color w:val="1A2674"/>
                <w:sz w:val="40"/>
                <w:szCs w:val="54"/>
              </w:rPr>
              <w:t xml:space="preserve">Identifying and Measuring </w:t>
            </w:r>
            <w:r>
              <w:rPr>
                <w:rFonts w:ascii="Calibri" w:hAnsi="Calibri"/>
                <w:i/>
                <w:color w:val="1A2674"/>
                <w:sz w:val="40"/>
                <w:szCs w:val="54"/>
              </w:rPr>
              <w:t>Hidden Costs and Contributions</w:t>
            </w:r>
          </w:p>
        </w:tc>
      </w:tr>
    </w:tbl>
    <w:p w:rsidR="00CA3CEE" w:rsidRDefault="00CA3CEE" w:rsidP="00CA3CEE">
      <w:pPr>
        <w:pStyle w:val="Heading1"/>
      </w:pPr>
      <w:r>
        <w:t>Introduction</w:t>
      </w:r>
    </w:p>
    <w:p w:rsidR="00CA3CEE" w:rsidRDefault="00CA3CEE" w:rsidP="00803E32">
      <w:r w:rsidRPr="00A418E6">
        <w:t>Th</w:t>
      </w:r>
      <w:r>
        <w:t>is worksheet</w:t>
      </w:r>
      <w:r w:rsidRPr="00A418E6">
        <w:t xml:space="preserve"> is designed to help you </w:t>
      </w:r>
      <w:r>
        <w:t>identify and measure hidden costs and contributions, which are costs that may be important to understanding your financial performance and sustainability, but which you may not consider because you do</w:t>
      </w:r>
      <w:r w:rsidR="005E756E">
        <w:t xml:space="preserve"> not</w:t>
      </w:r>
      <w:r>
        <w:t xml:space="preserve"> </w:t>
      </w:r>
      <w:r w:rsidRPr="00CA3CEE">
        <w:t>pay for</w:t>
      </w:r>
      <w:r>
        <w:t xml:space="preserve"> them</w:t>
      </w:r>
      <w:r w:rsidRPr="00CA3CEE">
        <w:t xml:space="preserve"> directly.  If these costs are integral components of your business activity, then they should be accounted for in order to reflect your true cost picture.  This is particularly important when determining a</w:t>
      </w:r>
      <w:bookmarkStart w:id="0" w:name="_GoBack"/>
      <w:bookmarkEnd w:id="0"/>
      <w:r w:rsidRPr="00CA3CEE">
        <w:t xml:space="preserve"> competitive pricing policy or future funding needs to sustain your business in the long term.  </w:t>
      </w:r>
    </w:p>
    <w:p w:rsidR="00CA3CEE" w:rsidRDefault="0035301D" w:rsidP="00CA3CEE">
      <w:r>
        <w:t xml:space="preserve">This </w:t>
      </w:r>
      <w:r w:rsidRPr="00A418E6">
        <w:t>concept</w:t>
      </w:r>
      <w:r>
        <w:t xml:space="preserve"> is</w:t>
      </w:r>
      <w:r w:rsidRPr="00A418E6">
        <w:t xml:space="preserve"> covered </w:t>
      </w:r>
      <w:r>
        <w:t xml:space="preserve">in more detail </w:t>
      </w:r>
      <w:r w:rsidRPr="00A418E6">
        <w:t>in th</w:t>
      </w:r>
      <w:r>
        <w:t xml:space="preserve">e Demonstrating Value Guide: </w:t>
      </w:r>
      <w:r w:rsidRPr="0035301D">
        <w:rPr>
          <w:noProof/>
          <w:color w:val="0070C0"/>
        </w:rPr>
        <w:drawing>
          <wp:anchor distT="0" distB="0" distL="114300" distR="114300" simplePos="0" relativeHeight="251662336" behindDoc="0" locked="1" layoutInCell="1" allowOverlap="1">
            <wp:simplePos x="0" y="0"/>
            <wp:positionH relativeFrom="column">
              <wp:posOffset>1841500</wp:posOffset>
            </wp:positionH>
            <wp:positionV relativeFrom="paragraph">
              <wp:posOffset>315595</wp:posOffset>
            </wp:positionV>
            <wp:extent cx="285750" cy="304800"/>
            <wp:effectExtent l="1905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85750" cy="304800"/>
                    </a:xfrm>
                    <a:prstGeom prst="rect">
                      <a:avLst/>
                    </a:prstGeom>
                    <a:noFill/>
                  </pic:spPr>
                </pic:pic>
              </a:graphicData>
            </a:graphic>
          </wp:anchor>
        </w:drawing>
      </w:r>
      <w:r w:rsidRPr="0035301D">
        <w:rPr>
          <w:noProof/>
          <w:color w:val="0070C0"/>
        </w:rPr>
        <w:drawing>
          <wp:anchor distT="0" distB="0" distL="114300" distR="114300" simplePos="0" relativeHeight="251661312" behindDoc="0" locked="1" layoutInCell="1" allowOverlap="1">
            <wp:simplePos x="0" y="0"/>
            <wp:positionH relativeFrom="column">
              <wp:posOffset>2673350</wp:posOffset>
            </wp:positionH>
            <wp:positionV relativeFrom="paragraph">
              <wp:posOffset>137795</wp:posOffset>
            </wp:positionV>
            <wp:extent cx="285750" cy="304800"/>
            <wp:effectExtent l="1905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85750" cy="304800"/>
                    </a:xfrm>
                    <a:prstGeom prst="rect">
                      <a:avLst/>
                    </a:prstGeom>
                    <a:noFill/>
                  </pic:spPr>
                </pic:pic>
              </a:graphicData>
            </a:graphic>
          </wp:anchor>
        </w:drawing>
      </w:r>
      <w:hyperlink r:id="rId10" w:history="1">
        <w:r w:rsidRPr="007B4108">
          <w:rPr>
            <w:rStyle w:val="Hyperlink"/>
            <w:i/>
          </w:rPr>
          <w:t>Financial Intelligence, A Guide for Social Enterprise</w:t>
        </w:r>
      </w:hyperlink>
      <w:r w:rsidRPr="0035301D">
        <w:rPr>
          <w:color w:val="0070C0"/>
        </w:rPr>
        <w:t>.</w:t>
      </w:r>
      <w:r>
        <w:rPr>
          <w:color w:val="0070C0"/>
        </w:rPr>
        <w:t xml:space="preserve">      </w:t>
      </w:r>
      <w:r>
        <w:t>You can integrate these costs into</w:t>
      </w:r>
      <w:r w:rsidR="005E756E">
        <w:t xml:space="preserve"> the </w:t>
      </w:r>
      <w:r>
        <w:t xml:space="preserve"> </w:t>
      </w:r>
      <w:hyperlink r:id="rId11" w:history="1">
        <w:r w:rsidRPr="007B4108">
          <w:rPr>
            <w:rStyle w:val="Hyperlink"/>
            <w:i/>
          </w:rPr>
          <w:t>True Cost Picture Workbook</w:t>
        </w:r>
      </w:hyperlink>
      <w:r w:rsidRPr="00191EF6">
        <w:rPr>
          <w:i/>
          <w:color w:val="000000" w:themeColor="text1"/>
        </w:rPr>
        <w:t>,</w:t>
      </w:r>
      <w:r w:rsidRPr="00191EF6">
        <w:rPr>
          <w:color w:val="000000" w:themeColor="text1"/>
        </w:rPr>
        <w:t xml:space="preserve"> </w:t>
      </w:r>
      <w:r>
        <w:rPr>
          <w:color w:val="000000" w:themeColor="text1"/>
        </w:rPr>
        <w:t xml:space="preserve">        </w:t>
      </w:r>
      <w:r>
        <w:t>an</w:t>
      </w:r>
      <w:r w:rsidRPr="00A418E6">
        <w:t xml:space="preserve"> </w:t>
      </w:r>
      <w:r w:rsidR="005E756E">
        <w:t>E</w:t>
      </w:r>
      <w:r w:rsidRPr="00A418E6">
        <w:t>xcel spreadsheet</w:t>
      </w:r>
      <w:r>
        <w:t xml:space="preserve"> that </w:t>
      </w:r>
      <w:r w:rsidRPr="00A418E6">
        <w:t xml:space="preserve"> provides a step-by-step process for “adjusting” existing financial records </w:t>
      </w:r>
      <w:r>
        <w:t xml:space="preserve">to present </w:t>
      </w:r>
      <w:r w:rsidRPr="00A418E6">
        <w:t xml:space="preserve">a “double bottom line” picture of enterprise performance.  </w:t>
      </w:r>
      <w:r w:rsidR="00967821">
        <w:t>These tools are available in the Tools and Resources section of the Demonstrating Value website (</w:t>
      </w:r>
      <w:hyperlink r:id="rId12" w:history="1">
        <w:r w:rsidR="00967821" w:rsidRPr="006A787B">
          <w:rPr>
            <w:rStyle w:val="Hyperlink"/>
          </w:rPr>
          <w:t>www.demonstratingvalue.org</w:t>
        </w:r>
      </w:hyperlink>
      <w:r w:rsidR="00967821">
        <w:t>)</w:t>
      </w:r>
    </w:p>
    <w:p w:rsidR="005441EB" w:rsidRPr="003C10D0" w:rsidRDefault="003C10D0" w:rsidP="00544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CD6038">
        <w:rPr>
          <w:rFonts w:cs="Tw Cen MT"/>
          <w:b/>
        </w:rPr>
        <w:t>Ultimately, you will want to capture these costs in your accounting system by adopting appropriate allocation and valuation policies</w:t>
      </w:r>
      <w:r>
        <w:rPr>
          <w:rFonts w:cs="Tw Cen MT"/>
        </w:rPr>
        <w:t>.</w:t>
      </w:r>
    </w:p>
    <w:p w:rsidR="005441EB" w:rsidRPr="003C10D0" w:rsidRDefault="005441EB" w:rsidP="00544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w Cen MT"/>
          <w:b/>
        </w:rPr>
      </w:pPr>
    </w:p>
    <w:p w:rsidR="003C10D0" w:rsidRDefault="005E756E" w:rsidP="005E756E">
      <w:pPr>
        <w:pStyle w:val="Heading1"/>
        <w:jc w:val="left"/>
      </w:pPr>
      <w:r>
        <w:t xml:space="preserve">How to </w:t>
      </w:r>
      <w:r w:rsidR="00CA3CEE">
        <w:t>I</w:t>
      </w:r>
      <w:r w:rsidR="005441EB" w:rsidRPr="00CA3CEE">
        <w:t xml:space="preserve">dentify </w:t>
      </w:r>
      <w:r w:rsidR="00CA3CEE">
        <w:t>a</w:t>
      </w:r>
      <w:r w:rsidR="00CA3CEE" w:rsidRPr="00CA3CEE">
        <w:t>nd Quantify</w:t>
      </w:r>
      <w:r w:rsidR="00CA3CEE">
        <w:t xml:space="preserve"> </w:t>
      </w:r>
      <w:r w:rsidR="00CA3CEE" w:rsidRPr="00CA3CEE">
        <w:t xml:space="preserve">Hidden Costs </w:t>
      </w:r>
      <w:r w:rsidR="00CA3CEE">
        <w:t>a</w:t>
      </w:r>
      <w:r w:rsidR="00CA3CEE" w:rsidRPr="00CA3CEE">
        <w:t>nd Contributions</w:t>
      </w:r>
    </w:p>
    <w:p w:rsidR="00803E32" w:rsidRDefault="00511EC0" w:rsidP="00511EC0">
      <w:r>
        <w:t xml:space="preserve">A worksheet is provided at the end of this document to help you in identifying and quantify hidden costs and contributions.  The worksheet can be completed by following </w:t>
      </w:r>
      <w:r w:rsidR="005E756E">
        <w:t>the following steps.</w:t>
      </w:r>
    </w:p>
    <w:p w:rsidR="005E756E" w:rsidRDefault="005E756E" w:rsidP="00511EC0">
      <w:pPr>
        <w:sectPr w:rsidR="005E756E" w:rsidSect="00041612">
          <w:footerReference w:type="default" r:id="rId13"/>
          <w:pgSz w:w="12240" w:h="15840"/>
          <w:pgMar w:top="1440" w:right="1800" w:bottom="1440" w:left="1800" w:header="720" w:footer="720" w:gutter="0"/>
          <w:cols w:space="720"/>
          <w:noEndnote/>
        </w:sectPr>
      </w:pPr>
    </w:p>
    <w:p w:rsidR="005E756E" w:rsidRDefault="005E756E" w:rsidP="00511EC0"/>
    <w:p w:rsidR="00511EC0" w:rsidRDefault="00803E32" w:rsidP="00511EC0">
      <w:r>
        <w:br w:type="page"/>
      </w:r>
    </w:p>
    <w:p w:rsidR="00511EC0" w:rsidRDefault="00511EC0" w:rsidP="00511EC0">
      <w:pPr>
        <w:pStyle w:val="Heading2"/>
      </w:pPr>
      <w:r>
        <w:rPr>
          <w:noProof/>
        </w:rPr>
        <w:lastRenderedPageBreak/>
        <w:drawing>
          <wp:inline distT="0" distB="0" distL="0" distR="0">
            <wp:extent cx="551180" cy="335915"/>
            <wp:effectExtent l="19050" t="0" r="0" b="0"/>
            <wp:docPr id="12" name="Picture 10" descr="C:\Documents and Settings\brysado\Local Settings\Temporary Internet Files\Content.IE5\HJFJXXCE\MM9000410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brysado\Local Settings\Temporary Internet Files\Content.IE5\HJFJXXCE\MM900041056[1].gif"/>
                    <pic:cNvPicPr>
                      <a:picLocks noChangeAspect="1" noChangeArrowheads="1"/>
                    </pic:cNvPicPr>
                  </pic:nvPicPr>
                  <pic:blipFill>
                    <a:blip r:embed="rId14" cstate="print"/>
                    <a:srcRect/>
                    <a:stretch>
                      <a:fillRect/>
                    </a:stretch>
                  </pic:blipFill>
                  <pic:spPr bwMode="auto">
                    <a:xfrm>
                      <a:off x="0" y="0"/>
                      <a:ext cx="551180" cy="335915"/>
                    </a:xfrm>
                    <a:prstGeom prst="rect">
                      <a:avLst/>
                    </a:prstGeom>
                    <a:noFill/>
                    <a:ln w="9525">
                      <a:noFill/>
                      <a:miter lim="800000"/>
                      <a:headEnd/>
                      <a:tailEnd/>
                    </a:ln>
                  </pic:spPr>
                </pic:pic>
              </a:graphicData>
            </a:graphic>
          </wp:inline>
        </w:drawing>
      </w:r>
      <w:r w:rsidRPr="00511EC0">
        <w:rPr>
          <w:rFonts w:ascii="Cambria" w:eastAsia="Times New Roman" w:hAnsi="Cambria" w:cs="Times New Roman"/>
          <w:i/>
          <w:iCs/>
          <w:color w:val="28327C"/>
          <w:sz w:val="28"/>
          <w:szCs w:val="28"/>
        </w:rPr>
        <w:t>Step 1</w:t>
      </w:r>
    </w:p>
    <w:p w:rsidR="003C10D0" w:rsidRDefault="003C10D0" w:rsidP="00511EC0">
      <w:r>
        <w:t>Brainstorm and identify non-cash contributions that you have received that are significant to your organization.  Be sure to involve</w:t>
      </w:r>
      <w:r w:rsidR="008870B6">
        <w:t xml:space="preserve"> the appropriate staff in</w:t>
      </w:r>
      <w:r>
        <w:t xml:space="preserve"> this exercise including accounting and operations people.</w:t>
      </w:r>
    </w:p>
    <w:p w:rsidR="003C10D0" w:rsidRDefault="005A505B" w:rsidP="00511EC0">
      <w:r>
        <w:t>Are these contributions used in the normal course of your business?  That is, would you have purchased them yourself if they were not otherwise provided?</w:t>
      </w:r>
      <w:r w:rsidR="00511EC0">
        <w:t xml:space="preserve"> See page 3, for prompts that can help you with your brainstorming.</w:t>
      </w:r>
    </w:p>
    <w:p w:rsidR="00511EC0" w:rsidRDefault="00511EC0" w:rsidP="00511EC0">
      <w:pPr>
        <w:pStyle w:val="Heading2"/>
      </w:pPr>
      <w:r>
        <w:rPr>
          <w:noProof/>
        </w:rPr>
        <w:drawing>
          <wp:inline distT="0" distB="0" distL="0" distR="0">
            <wp:extent cx="551180" cy="335915"/>
            <wp:effectExtent l="19050" t="0" r="0" b="0"/>
            <wp:docPr id="13" name="Picture 10" descr="C:\Documents and Settings\brysado\Local Settings\Temporary Internet Files\Content.IE5\HJFJXXCE\MM9000410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brysado\Local Settings\Temporary Internet Files\Content.IE5\HJFJXXCE\MM900041056[1].gif"/>
                    <pic:cNvPicPr>
                      <a:picLocks noChangeAspect="1" noChangeArrowheads="1"/>
                    </pic:cNvPicPr>
                  </pic:nvPicPr>
                  <pic:blipFill>
                    <a:blip r:embed="rId14" cstate="print"/>
                    <a:srcRect/>
                    <a:stretch>
                      <a:fillRect/>
                    </a:stretch>
                  </pic:blipFill>
                  <pic:spPr bwMode="auto">
                    <a:xfrm>
                      <a:off x="0" y="0"/>
                      <a:ext cx="551180" cy="335915"/>
                    </a:xfrm>
                    <a:prstGeom prst="rect">
                      <a:avLst/>
                    </a:prstGeom>
                    <a:noFill/>
                    <a:ln w="9525">
                      <a:noFill/>
                      <a:miter lim="800000"/>
                      <a:headEnd/>
                      <a:tailEnd/>
                    </a:ln>
                  </pic:spPr>
                </pic:pic>
              </a:graphicData>
            </a:graphic>
          </wp:inline>
        </w:drawing>
      </w:r>
      <w:r w:rsidRPr="00511EC0">
        <w:rPr>
          <w:rFonts w:ascii="Cambria" w:eastAsia="Times New Roman" w:hAnsi="Cambria" w:cs="Times New Roman"/>
          <w:i/>
          <w:iCs/>
          <w:color w:val="28327C"/>
          <w:sz w:val="28"/>
          <w:szCs w:val="28"/>
        </w:rPr>
        <w:t>Step 2</w:t>
      </w:r>
    </w:p>
    <w:p w:rsidR="003C10D0" w:rsidRDefault="003C10D0" w:rsidP="00511EC0">
      <w:r>
        <w:t>Assess the likel</w:t>
      </w:r>
      <w:r w:rsidR="005A505B">
        <w:t xml:space="preserve">y magnitude of each contribution </w:t>
      </w:r>
      <w:r>
        <w:t>– its significance in terms of financial resources and importance to the program objectives.</w:t>
      </w:r>
      <w:r w:rsidR="005A505B">
        <w:t xml:space="preserve">  Don’t get caught up on things that will not have real impact on your true cost picture.</w:t>
      </w:r>
    </w:p>
    <w:p w:rsidR="00511EC0" w:rsidRDefault="00511EC0" w:rsidP="00511EC0">
      <w:pPr>
        <w:pStyle w:val="Heading2"/>
      </w:pPr>
      <w:r>
        <w:rPr>
          <w:noProof/>
        </w:rPr>
        <w:drawing>
          <wp:inline distT="0" distB="0" distL="0" distR="0">
            <wp:extent cx="551180" cy="335915"/>
            <wp:effectExtent l="19050" t="0" r="0" b="0"/>
            <wp:docPr id="1" name="Picture 10" descr="C:\Documents and Settings\brysado\Local Settings\Temporary Internet Files\Content.IE5\HJFJXXCE\MM9000410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brysado\Local Settings\Temporary Internet Files\Content.IE5\HJFJXXCE\MM900041056[1].gif"/>
                    <pic:cNvPicPr>
                      <a:picLocks noChangeAspect="1" noChangeArrowheads="1"/>
                    </pic:cNvPicPr>
                  </pic:nvPicPr>
                  <pic:blipFill>
                    <a:blip r:embed="rId14" cstate="print"/>
                    <a:srcRect/>
                    <a:stretch>
                      <a:fillRect/>
                    </a:stretch>
                  </pic:blipFill>
                  <pic:spPr bwMode="auto">
                    <a:xfrm>
                      <a:off x="0" y="0"/>
                      <a:ext cx="551180" cy="335915"/>
                    </a:xfrm>
                    <a:prstGeom prst="rect">
                      <a:avLst/>
                    </a:prstGeom>
                    <a:noFill/>
                    <a:ln w="9525">
                      <a:noFill/>
                      <a:miter lim="800000"/>
                      <a:headEnd/>
                      <a:tailEnd/>
                    </a:ln>
                  </pic:spPr>
                </pic:pic>
              </a:graphicData>
            </a:graphic>
          </wp:inline>
        </w:drawing>
      </w:r>
      <w:r w:rsidRPr="00511EC0">
        <w:rPr>
          <w:rFonts w:ascii="Cambria" w:eastAsia="Times New Roman" w:hAnsi="Cambria" w:cs="Times New Roman"/>
          <w:i/>
          <w:iCs/>
          <w:color w:val="28327C"/>
          <w:sz w:val="28"/>
          <w:szCs w:val="28"/>
        </w:rPr>
        <w:t>Step 3</w:t>
      </w:r>
    </w:p>
    <w:p w:rsidR="005A505B" w:rsidRDefault="003C10D0" w:rsidP="00511EC0">
      <w:r>
        <w:t xml:space="preserve">Outline the methodology that could be </w:t>
      </w:r>
      <w:r w:rsidR="005A505B">
        <w:t>used to value the contribution – either by applying appropriate market rates or, in the case of contributions of resources by your non-profit parent, based on a reasonable allocation method.</w:t>
      </w:r>
    </w:p>
    <w:p w:rsidR="00511EC0" w:rsidRDefault="00511EC0" w:rsidP="00511EC0">
      <w:pPr>
        <w:pStyle w:val="Heading2"/>
      </w:pPr>
      <w:r>
        <w:rPr>
          <w:noProof/>
        </w:rPr>
        <w:drawing>
          <wp:inline distT="0" distB="0" distL="0" distR="0">
            <wp:extent cx="551180" cy="335915"/>
            <wp:effectExtent l="19050" t="0" r="0" b="0"/>
            <wp:docPr id="2" name="Picture 10" descr="C:\Documents and Settings\brysado\Local Settings\Temporary Internet Files\Content.IE5\HJFJXXCE\MM9000410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brysado\Local Settings\Temporary Internet Files\Content.IE5\HJFJXXCE\MM900041056[1].gif"/>
                    <pic:cNvPicPr>
                      <a:picLocks noChangeAspect="1" noChangeArrowheads="1"/>
                    </pic:cNvPicPr>
                  </pic:nvPicPr>
                  <pic:blipFill>
                    <a:blip r:embed="rId14" cstate="print"/>
                    <a:srcRect/>
                    <a:stretch>
                      <a:fillRect/>
                    </a:stretch>
                  </pic:blipFill>
                  <pic:spPr bwMode="auto">
                    <a:xfrm>
                      <a:off x="0" y="0"/>
                      <a:ext cx="551180" cy="335915"/>
                    </a:xfrm>
                    <a:prstGeom prst="rect">
                      <a:avLst/>
                    </a:prstGeom>
                    <a:noFill/>
                    <a:ln w="9525">
                      <a:noFill/>
                      <a:miter lim="800000"/>
                      <a:headEnd/>
                      <a:tailEnd/>
                    </a:ln>
                  </pic:spPr>
                </pic:pic>
              </a:graphicData>
            </a:graphic>
          </wp:inline>
        </w:drawing>
      </w:r>
      <w:r w:rsidRPr="00511EC0">
        <w:rPr>
          <w:rFonts w:ascii="Cambria" w:eastAsia="Times New Roman" w:hAnsi="Cambria" w:cs="Times New Roman"/>
          <w:i/>
          <w:iCs/>
          <w:color w:val="28327C"/>
          <w:sz w:val="28"/>
          <w:szCs w:val="28"/>
        </w:rPr>
        <w:t>Step 4</w:t>
      </w:r>
    </w:p>
    <w:p w:rsidR="003C10D0" w:rsidRDefault="003C10D0" w:rsidP="00511EC0">
      <w:r>
        <w:t xml:space="preserve">Consider the challenges associated with </w:t>
      </w:r>
      <w:r w:rsidR="005A505B">
        <w:t>valuing a contribution.  This co</w:t>
      </w:r>
      <w:r w:rsidR="004346AA">
        <w:t>st should only be included if fair value</w:t>
      </w:r>
      <w:r w:rsidR="005A505B">
        <w:t xml:space="preserve"> can </w:t>
      </w:r>
      <w:r w:rsidR="004346AA">
        <w:t>be reasonably estimated.</w:t>
      </w:r>
    </w:p>
    <w:p w:rsidR="00EA1B60" w:rsidRDefault="00EA1B60" w:rsidP="00511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mbria" w:eastAsia="Times New Roman" w:hAnsi="Cambria" w:cs="Times New Roman"/>
          <w:b/>
          <w:bCs/>
          <w:iCs/>
          <w:color w:val="28327C"/>
          <w:sz w:val="28"/>
          <w:szCs w:val="28"/>
        </w:rPr>
      </w:pPr>
    </w:p>
    <w:p w:rsidR="00511EC0" w:rsidRPr="00511EC0" w:rsidRDefault="00511EC0" w:rsidP="00511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mbria" w:eastAsia="Times New Roman" w:hAnsi="Cambria" w:cs="Times New Roman"/>
          <w:b/>
          <w:bCs/>
          <w:iCs/>
          <w:color w:val="28327C"/>
          <w:sz w:val="28"/>
          <w:szCs w:val="28"/>
        </w:rPr>
      </w:pPr>
      <w:r w:rsidRPr="00511EC0">
        <w:rPr>
          <w:rFonts w:ascii="Cambria" w:eastAsia="Times New Roman" w:hAnsi="Cambria" w:cs="Times New Roman"/>
          <w:b/>
          <w:bCs/>
          <w:iCs/>
          <w:color w:val="28327C"/>
          <w:sz w:val="28"/>
          <w:szCs w:val="28"/>
        </w:rPr>
        <w:t>TIPS:</w:t>
      </w:r>
    </w:p>
    <w:p w:rsidR="00511EC0" w:rsidRDefault="00511EC0" w:rsidP="00511EC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Pr>
          <w:rFonts w:cs="Helvetica"/>
        </w:rPr>
        <w:t>Principles to remember and apply – materiality, relevance, measurability</w:t>
      </w:r>
    </w:p>
    <w:p w:rsidR="00511EC0" w:rsidRPr="00CD6038" w:rsidRDefault="00511EC0" w:rsidP="00511EC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Pr>
          <w:rFonts w:cs="Helvetica"/>
        </w:rPr>
        <w:t>Don’t get caught up in identifying costs that may not make that much difference to your true cost picture</w:t>
      </w:r>
    </w:p>
    <w:p w:rsidR="00511EC0" w:rsidRPr="004346AA" w:rsidRDefault="00511EC0" w:rsidP="00511EC0">
      <w:r>
        <w:br w:type="page"/>
      </w:r>
    </w:p>
    <w:tbl>
      <w:tblPr>
        <w:tblStyle w:val="TableGrid"/>
        <w:tblW w:w="9889" w:type="dxa"/>
        <w:tblLayout w:type="fixed"/>
        <w:tblLook w:val="04A0" w:firstRow="1" w:lastRow="0" w:firstColumn="1" w:lastColumn="0" w:noHBand="0" w:noVBand="1"/>
      </w:tblPr>
      <w:tblGrid>
        <w:gridCol w:w="9889"/>
      </w:tblGrid>
      <w:tr w:rsidR="00CA3CEE" w:rsidTr="007B4108">
        <w:tc>
          <w:tcPr>
            <w:tcW w:w="9889" w:type="dxa"/>
            <w:shd w:val="clear" w:color="auto" w:fill="E5DFEC" w:themeFill="accent4" w:themeFillTint="33"/>
          </w:tcPr>
          <w:p w:rsidR="00CA3CEE" w:rsidRDefault="00CA3CEE" w:rsidP="00544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w Cen MT"/>
                <w:b/>
              </w:rPr>
            </w:pPr>
          </w:p>
          <w:p w:rsidR="00CA3CEE" w:rsidRDefault="00CA3CEE" w:rsidP="00CA3C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w Cen MT"/>
                <w:b/>
              </w:rPr>
            </w:pPr>
            <w:r>
              <w:rPr>
                <w:rFonts w:cs="Tw Cen MT"/>
                <w:b/>
              </w:rPr>
              <w:t>The following prompts may help in identifying and estimating contributions:</w:t>
            </w:r>
          </w:p>
          <w:p w:rsidR="00CA3CEE" w:rsidRDefault="00CA3CEE" w:rsidP="00CA3C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w Cen MT"/>
                <w:b/>
              </w:rPr>
            </w:pPr>
          </w:p>
          <w:p w:rsidR="00CA3CEE" w:rsidRPr="004346AA" w:rsidRDefault="00CA3CEE" w:rsidP="00511EC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7" w:hanging="357"/>
              <w:contextualSpacing w:val="0"/>
              <w:rPr>
                <w:rFonts w:cs="Helvetica"/>
              </w:rPr>
            </w:pPr>
            <w:r w:rsidRPr="004346AA">
              <w:rPr>
                <w:rFonts w:cs="Tw Cen MT"/>
              </w:rPr>
              <w:t>Do you receive donations of materials</w:t>
            </w:r>
            <w:r>
              <w:rPr>
                <w:rFonts w:cs="Tw Cen MT"/>
              </w:rPr>
              <w:t xml:space="preserve"> or purchase discounts</w:t>
            </w:r>
            <w:r w:rsidRPr="004346AA">
              <w:rPr>
                <w:rFonts w:cs="Tw Cen MT"/>
              </w:rPr>
              <w:t xml:space="preserve"> because of </w:t>
            </w:r>
            <w:r>
              <w:rPr>
                <w:rFonts w:cs="Tw Cen MT"/>
              </w:rPr>
              <w:t xml:space="preserve">your mission? Is it possible to </w:t>
            </w:r>
            <w:r w:rsidRPr="004346AA">
              <w:rPr>
                <w:rFonts w:cs="Tw Cen MT"/>
              </w:rPr>
              <w:t>estimate the value of these donations by estimating a comparable market value?</w:t>
            </w:r>
          </w:p>
          <w:p w:rsidR="00CA3CEE" w:rsidRPr="004346AA" w:rsidRDefault="00CA3CEE" w:rsidP="00511EC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7"/>
              <w:contextualSpacing w:val="0"/>
              <w:rPr>
                <w:rFonts w:cs="Helvetica"/>
              </w:rPr>
            </w:pPr>
          </w:p>
          <w:p w:rsidR="00CA3CEE" w:rsidRPr="00CD6038" w:rsidRDefault="00CA3CEE" w:rsidP="00511EC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rPr>
            </w:pPr>
            <w:r w:rsidRPr="004346AA">
              <w:rPr>
                <w:rFonts w:cs="Tw Cen MT"/>
              </w:rPr>
              <w:t>Do you have volunteers, students or unpaid inte</w:t>
            </w:r>
            <w:r>
              <w:rPr>
                <w:rFonts w:cs="Tw Cen MT"/>
              </w:rPr>
              <w:t xml:space="preserve">rns providing </w:t>
            </w:r>
            <w:proofErr w:type="spellStart"/>
            <w:r>
              <w:rPr>
                <w:rFonts w:cs="Tw Cen MT"/>
              </w:rPr>
              <w:t>labour</w:t>
            </w:r>
            <w:proofErr w:type="spellEnd"/>
            <w:r>
              <w:rPr>
                <w:rFonts w:cs="Tw Cen MT"/>
              </w:rPr>
              <w:t xml:space="preserve"> to produce </w:t>
            </w:r>
            <w:r w:rsidRPr="004346AA">
              <w:rPr>
                <w:rFonts w:cs="Tw Cen MT"/>
              </w:rPr>
              <w:t xml:space="preserve">goods/services in the social enterprise? Is it possible to estimate the value of volunteer hours? For more information on how to estimate the value of this </w:t>
            </w:r>
            <w:proofErr w:type="spellStart"/>
            <w:r w:rsidRPr="004346AA">
              <w:rPr>
                <w:rFonts w:cs="Tw Cen MT"/>
              </w:rPr>
              <w:t>labour</w:t>
            </w:r>
            <w:proofErr w:type="spellEnd"/>
            <w:r w:rsidRPr="004346AA">
              <w:rPr>
                <w:rFonts w:cs="Tw Cen MT"/>
              </w:rPr>
              <w:t xml:space="preserve"> see:</w:t>
            </w:r>
          </w:p>
          <w:p w:rsidR="00CA3CEE" w:rsidRPr="00CD6038" w:rsidRDefault="00CA3CEE" w:rsidP="00511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rPr>
            </w:pPr>
          </w:p>
          <w:p w:rsidR="00CA3CEE" w:rsidRPr="007B4108" w:rsidRDefault="007B4108" w:rsidP="007B410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w Cen MT"/>
                <w:u w:val="single"/>
              </w:rPr>
            </w:pPr>
            <w:r>
              <w:rPr>
                <w:rFonts w:cs="Tw Cen MT"/>
              </w:rPr>
              <w:t xml:space="preserve">  </w:t>
            </w:r>
            <w:r w:rsidR="00CA3CEE" w:rsidRPr="007B4108">
              <w:rPr>
                <w:rFonts w:cs="Tw Cen MT"/>
              </w:rPr>
              <w:t>Heritage Canada, How To Estimate the Economic Contribution of VolunteerWork</w:t>
            </w:r>
            <w:hyperlink r:id="rId15" w:history="1">
              <w:r w:rsidR="00CA3CEE" w:rsidRPr="007B4108">
                <w:rPr>
                  <w:rStyle w:val="Hyperlink"/>
                  <w:rFonts w:cs="Tw Cen MT"/>
                </w:rPr>
                <w:t>http://www.nald.ca/FULLTEXT/heritage/ComPartnE/EstVolE.htm</w:t>
              </w:r>
            </w:hyperlink>
          </w:p>
          <w:p w:rsidR="00CA3CEE" w:rsidRPr="004346AA" w:rsidRDefault="00CA3CEE" w:rsidP="00511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Helvetica"/>
              </w:rPr>
            </w:pPr>
          </w:p>
          <w:p w:rsidR="007B4108" w:rsidRPr="00FE1773" w:rsidRDefault="007B4108" w:rsidP="007B4108">
            <w:pPr>
              <w:pStyle w:val="ListParagraph"/>
              <w:numPr>
                <w:ilvl w:val="0"/>
                <w:numId w:val="7"/>
              </w:numPr>
              <w:spacing w:line="240" w:lineRule="auto"/>
              <w:contextualSpacing w:val="0"/>
              <w:jc w:val="left"/>
              <w:rPr>
                <w:szCs w:val="25"/>
              </w:rPr>
            </w:pPr>
            <w:r w:rsidRPr="00FE1773">
              <w:rPr>
                <w:szCs w:val="25"/>
              </w:rPr>
              <w:t xml:space="preserve">Canadian Centre for Philanthropy, Estimating and Reporting the Value of Volunteer Contributions </w:t>
            </w:r>
            <w:hyperlink r:id="rId16" w:history="1">
              <w:r w:rsidRPr="00FE1773">
                <w:rPr>
                  <w:rStyle w:val="Hyperlink"/>
                  <w:szCs w:val="25"/>
                </w:rPr>
                <w:t>http://sectorsource.ca/sites/default/files/resources/files/Quarter_Estimating_Reporting_Final.pdf</w:t>
              </w:r>
            </w:hyperlink>
          </w:p>
          <w:p w:rsidR="00CA3CEE" w:rsidRDefault="00CA3CEE" w:rsidP="00511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w Cen MT"/>
                <w:bCs/>
              </w:rPr>
            </w:pPr>
          </w:p>
          <w:p w:rsidR="00CA3CEE" w:rsidRPr="004346AA" w:rsidRDefault="00CA3CEE" w:rsidP="00511EC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rPr>
            </w:pPr>
            <w:r>
              <w:rPr>
                <w:rFonts w:cs="Tw Cen MT"/>
              </w:rPr>
              <w:t>D</w:t>
            </w:r>
            <w:r w:rsidRPr="004346AA">
              <w:rPr>
                <w:rFonts w:cs="Tw Cen MT"/>
              </w:rPr>
              <w:t>oes your parent organization provide or contribute towards a</w:t>
            </w:r>
            <w:r>
              <w:rPr>
                <w:rFonts w:cs="Tw Cen MT"/>
              </w:rPr>
              <w:t>ny costs that are not included in</w:t>
            </w:r>
            <w:r w:rsidRPr="004346AA">
              <w:rPr>
                <w:rFonts w:cs="Tw Cen MT"/>
              </w:rPr>
              <w:t xml:space="preserve"> your income statement? These could include: </w:t>
            </w:r>
          </w:p>
          <w:p w:rsidR="00CA3CEE" w:rsidRPr="004346AA"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4346AA">
              <w:rPr>
                <w:rFonts w:cs="Tw Cen MT"/>
              </w:rPr>
              <w:t>shared rece</w:t>
            </w:r>
            <w:r>
              <w:rPr>
                <w:rFonts w:cs="Tw Cen MT"/>
              </w:rPr>
              <w:t>ptionist service</w:t>
            </w:r>
          </w:p>
          <w:p w:rsidR="00CA3CEE" w:rsidRPr="004346AA"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4346AA">
              <w:rPr>
                <w:rFonts w:cs="Tw Cen MT"/>
              </w:rPr>
              <w:t>advertising, we</w:t>
            </w:r>
            <w:r>
              <w:rPr>
                <w:rFonts w:cs="Tw Cen MT"/>
              </w:rPr>
              <w:t>bsite design, web site hosting</w:t>
            </w:r>
          </w:p>
          <w:p w:rsidR="00CA3CEE" w:rsidRPr="004346AA"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4346AA">
              <w:rPr>
                <w:rFonts w:cs="Tw Cen MT"/>
              </w:rPr>
              <w:t>promotiona</w:t>
            </w:r>
            <w:r>
              <w:rPr>
                <w:rFonts w:cs="Tw Cen MT"/>
              </w:rPr>
              <w:t>l material design and printing</w:t>
            </w:r>
          </w:p>
          <w:p w:rsidR="00CA3CEE" w:rsidRPr="004346AA"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4346AA">
              <w:rPr>
                <w:rFonts w:cs="Tw Cen MT"/>
              </w:rPr>
              <w:t>facilities rent</w:t>
            </w:r>
            <w:r>
              <w:rPr>
                <w:rFonts w:cs="Tw Cen MT"/>
              </w:rPr>
              <w:t>, utilities - hydro/heat/water</w:t>
            </w:r>
          </w:p>
          <w:p w:rsidR="00CA3CEE" w:rsidRPr="00CD6038"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4346AA">
              <w:rPr>
                <w:rFonts w:cs="Tw Cen MT"/>
              </w:rPr>
              <w:t>telephone, internet access</w:t>
            </w:r>
            <w:r>
              <w:rPr>
                <w:rFonts w:cs="Tw Cen MT"/>
              </w:rPr>
              <w:t>, cell phones, office supplies</w:t>
            </w:r>
          </w:p>
          <w:p w:rsidR="00CA3CEE" w:rsidRPr="00CD6038"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Pr>
                <w:rFonts w:cs="Tw Cen MT"/>
              </w:rPr>
              <w:t>management staff costs &amp; benefits, staff recognition</w:t>
            </w:r>
          </w:p>
          <w:p w:rsidR="00CA3CEE" w:rsidRPr="00CD6038"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4346AA">
              <w:rPr>
                <w:rFonts w:cs="Tw Cen MT"/>
              </w:rPr>
              <w:t>staff</w:t>
            </w:r>
          </w:p>
          <w:p w:rsidR="00CA3CEE" w:rsidRPr="00CD6038"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CD6038">
              <w:rPr>
                <w:rFonts w:cs="Tw Cen MT"/>
              </w:rPr>
              <w:t>accounting services, legal serv</w:t>
            </w:r>
            <w:r>
              <w:rPr>
                <w:rFonts w:cs="Tw Cen MT"/>
              </w:rPr>
              <w:t>ices, human resources services</w:t>
            </w:r>
          </w:p>
          <w:p w:rsidR="00CA3CEE" w:rsidRPr="005E756E"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5E756E">
              <w:rPr>
                <w:rFonts w:cs="Tw Cen MT"/>
              </w:rPr>
              <w:t>printer/paper supplies, printer/copier rental, printer/copier</w:t>
            </w:r>
            <w:r w:rsidR="005E756E">
              <w:rPr>
                <w:rFonts w:cs="Tw Cen MT"/>
              </w:rPr>
              <w:t xml:space="preserve"> </w:t>
            </w:r>
            <w:r w:rsidRPr="005E756E">
              <w:rPr>
                <w:rFonts w:cs="Tw Cen MT"/>
              </w:rPr>
              <w:t>maintenance</w:t>
            </w:r>
          </w:p>
          <w:p w:rsidR="00CA3CEE" w:rsidRPr="00CD6038"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sidRPr="00CD6038">
              <w:rPr>
                <w:rFonts w:cs="Tw Cen MT"/>
              </w:rPr>
              <w:t>vehicle lease/ren</w:t>
            </w:r>
            <w:r>
              <w:rPr>
                <w:rFonts w:cs="Tw Cen MT"/>
              </w:rPr>
              <w:t xml:space="preserve">tal </w:t>
            </w:r>
            <w:r w:rsidRPr="00CD6038">
              <w:rPr>
                <w:rFonts w:cs="Tw Cen MT"/>
              </w:rPr>
              <w:t>vehicle insuranc</w:t>
            </w:r>
            <w:r>
              <w:rPr>
                <w:rFonts w:cs="Tw Cen MT"/>
              </w:rPr>
              <w:t>e, vehicle gas, vehicle repairs</w:t>
            </w:r>
          </w:p>
          <w:p w:rsidR="00CA3CEE" w:rsidRPr="00CD6038" w:rsidRDefault="00CA3CEE" w:rsidP="00511EC0">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Helvetica"/>
              </w:rPr>
            </w:pPr>
            <w:r>
              <w:rPr>
                <w:rFonts w:cs="Tw Cen MT"/>
              </w:rPr>
              <w:t>counseling service</w:t>
            </w:r>
          </w:p>
          <w:p w:rsidR="00CA3CEE" w:rsidRDefault="00CA3CEE" w:rsidP="00511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rPr>
            </w:pPr>
          </w:p>
          <w:p w:rsidR="00CA3CEE" w:rsidRPr="00CD6038" w:rsidRDefault="00CA3CEE" w:rsidP="00511EC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rPr>
            </w:pPr>
            <w:r>
              <w:rPr>
                <w:rFonts w:cs="Helvetica"/>
              </w:rPr>
              <w:t>Consider capital assets (for example manufacturing equipment) used in your operations.  Were any of these assets donated or purchased below market value and will they eventually have to be replaced?  Is the depreciation of those assets included in your income statement?</w:t>
            </w:r>
          </w:p>
          <w:p w:rsidR="00CA3CEE" w:rsidRDefault="00CA3CEE" w:rsidP="00544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w Cen MT"/>
                <w:b/>
              </w:rPr>
            </w:pPr>
          </w:p>
        </w:tc>
      </w:tr>
    </w:tbl>
    <w:p w:rsidR="00C32405" w:rsidRPr="005279A4" w:rsidRDefault="00C32405" w:rsidP="00511EC0">
      <w:pPr>
        <w:pStyle w:val="Heading1"/>
      </w:pPr>
      <w:r>
        <w:lastRenderedPageBreak/>
        <w:t>WORKSHEET:</w:t>
      </w:r>
    </w:p>
    <w:tbl>
      <w:tblPr>
        <w:tblStyle w:val="TableGrid"/>
        <w:tblW w:w="10173" w:type="dxa"/>
        <w:tblLayout w:type="fixed"/>
        <w:tblLook w:val="00A0" w:firstRow="1" w:lastRow="0" w:firstColumn="1" w:lastColumn="0" w:noHBand="0" w:noVBand="0"/>
      </w:tblPr>
      <w:tblGrid>
        <w:gridCol w:w="2660"/>
        <w:gridCol w:w="1559"/>
        <w:gridCol w:w="1134"/>
        <w:gridCol w:w="3402"/>
        <w:gridCol w:w="1418"/>
      </w:tblGrid>
      <w:tr w:rsidR="00C32405" w:rsidTr="00511EC0">
        <w:tc>
          <w:tcPr>
            <w:tcW w:w="2660" w:type="dxa"/>
            <w:shd w:val="clear" w:color="auto" w:fill="E5DFEC" w:themeFill="accent4" w:themeFillTint="33"/>
          </w:tcPr>
          <w:p w:rsidR="00C32405" w:rsidRDefault="00511EC0" w:rsidP="00511EC0">
            <w:pPr>
              <w:spacing w:before="120"/>
              <w:jc w:val="center"/>
            </w:pPr>
            <w:r>
              <w:t xml:space="preserve">Identify </w:t>
            </w:r>
          </w:p>
          <w:p w:rsidR="00C32405" w:rsidRDefault="00511EC0" w:rsidP="00CA3CEE">
            <w:pPr>
              <w:jc w:val="center"/>
            </w:pPr>
            <w:r>
              <w:t>Non-Cash Contributions</w:t>
            </w:r>
          </w:p>
        </w:tc>
        <w:tc>
          <w:tcPr>
            <w:tcW w:w="1559" w:type="dxa"/>
            <w:shd w:val="clear" w:color="auto" w:fill="E5DFEC" w:themeFill="accent4" w:themeFillTint="33"/>
          </w:tcPr>
          <w:p w:rsidR="00C32405" w:rsidRDefault="00511EC0" w:rsidP="00511EC0">
            <w:pPr>
              <w:spacing w:before="120"/>
              <w:jc w:val="center"/>
            </w:pPr>
            <w:r>
              <w:t>Normal Course?</w:t>
            </w:r>
          </w:p>
          <w:p w:rsidR="00C32405" w:rsidRDefault="00C32405" w:rsidP="00C32405">
            <w:pPr>
              <w:jc w:val="center"/>
            </w:pPr>
            <w:r>
              <w:t>Y/N</w:t>
            </w:r>
          </w:p>
        </w:tc>
        <w:tc>
          <w:tcPr>
            <w:tcW w:w="1134" w:type="dxa"/>
            <w:shd w:val="clear" w:color="auto" w:fill="E5DFEC" w:themeFill="accent4" w:themeFillTint="33"/>
          </w:tcPr>
          <w:p w:rsidR="00C32405" w:rsidRDefault="00511EC0" w:rsidP="00511EC0">
            <w:pPr>
              <w:spacing w:before="120"/>
              <w:jc w:val="center"/>
            </w:pPr>
            <w:r>
              <w:t>Impact</w:t>
            </w:r>
          </w:p>
          <w:p w:rsidR="00C32405" w:rsidRDefault="00C32405" w:rsidP="00CA3CEE">
            <w:pPr>
              <w:jc w:val="center"/>
            </w:pPr>
            <w:r>
              <w:t>H-M-L</w:t>
            </w:r>
          </w:p>
        </w:tc>
        <w:tc>
          <w:tcPr>
            <w:tcW w:w="3402" w:type="dxa"/>
            <w:shd w:val="clear" w:color="auto" w:fill="E5DFEC" w:themeFill="accent4" w:themeFillTint="33"/>
          </w:tcPr>
          <w:p w:rsidR="00C32405" w:rsidRDefault="00511EC0" w:rsidP="00511EC0">
            <w:pPr>
              <w:spacing w:before="120"/>
              <w:jc w:val="center"/>
            </w:pPr>
            <w:r>
              <w:t>Valuation</w:t>
            </w:r>
          </w:p>
          <w:p w:rsidR="00C32405" w:rsidRDefault="00511EC0" w:rsidP="00C32405">
            <w:pPr>
              <w:jc w:val="center"/>
            </w:pPr>
            <w:r>
              <w:t>Methodology</w:t>
            </w:r>
          </w:p>
        </w:tc>
        <w:tc>
          <w:tcPr>
            <w:tcW w:w="1418" w:type="dxa"/>
            <w:shd w:val="clear" w:color="auto" w:fill="E5DFEC" w:themeFill="accent4" w:themeFillTint="33"/>
          </w:tcPr>
          <w:p w:rsidR="00C32405" w:rsidRDefault="00C32405" w:rsidP="00511EC0">
            <w:pPr>
              <w:spacing w:before="120"/>
              <w:jc w:val="center"/>
            </w:pPr>
            <w:r>
              <w:t xml:space="preserve"> </w:t>
            </w:r>
            <w:r w:rsidR="00511EC0">
              <w:t>Reliable Measure?</w:t>
            </w:r>
          </w:p>
          <w:p w:rsidR="00C32405" w:rsidRDefault="00C32405" w:rsidP="00CA3CEE">
            <w:pPr>
              <w:jc w:val="center"/>
            </w:pPr>
            <w:r>
              <w:t>Y/N</w:t>
            </w:r>
          </w:p>
        </w:tc>
      </w:tr>
      <w:tr w:rsidR="00EA1B60" w:rsidRPr="005E756E">
        <w:tc>
          <w:tcPr>
            <w:tcW w:w="2660" w:type="dxa"/>
          </w:tcPr>
          <w:p w:rsidR="00EA1B60" w:rsidRPr="005E756E" w:rsidRDefault="00EA1B60" w:rsidP="00803E32">
            <w:pPr>
              <w:jc w:val="left"/>
              <w:rPr>
                <w:color w:val="0000FF"/>
              </w:rPr>
            </w:pPr>
            <w:r w:rsidRPr="005E756E">
              <w:rPr>
                <w:color w:val="0000FF"/>
              </w:rPr>
              <w:t>e.g. Program Director salary and benefits not allocated to the enterprise</w:t>
            </w:r>
          </w:p>
          <w:p w:rsidR="00EA1B60" w:rsidRPr="005E756E" w:rsidRDefault="00EA1B60" w:rsidP="00803E32">
            <w:pPr>
              <w:jc w:val="left"/>
              <w:rPr>
                <w:color w:val="0000FF"/>
              </w:rPr>
            </w:pPr>
          </w:p>
        </w:tc>
        <w:tc>
          <w:tcPr>
            <w:tcW w:w="1559" w:type="dxa"/>
          </w:tcPr>
          <w:p w:rsidR="00EA1B60" w:rsidRPr="005E756E" w:rsidRDefault="00EA1B60" w:rsidP="00803E32">
            <w:pPr>
              <w:jc w:val="left"/>
              <w:rPr>
                <w:color w:val="0000FF"/>
              </w:rPr>
            </w:pPr>
            <w:r w:rsidRPr="005E756E">
              <w:rPr>
                <w:color w:val="0000FF"/>
              </w:rPr>
              <w:t>Yes</w:t>
            </w:r>
          </w:p>
        </w:tc>
        <w:tc>
          <w:tcPr>
            <w:tcW w:w="1134" w:type="dxa"/>
          </w:tcPr>
          <w:p w:rsidR="00EA1B60" w:rsidRPr="005E756E" w:rsidRDefault="00EA1B60" w:rsidP="00803E32">
            <w:pPr>
              <w:jc w:val="left"/>
              <w:rPr>
                <w:color w:val="0000FF"/>
              </w:rPr>
            </w:pPr>
            <w:r w:rsidRPr="005E756E">
              <w:rPr>
                <w:color w:val="0000FF"/>
              </w:rPr>
              <w:t>High</w:t>
            </w:r>
          </w:p>
        </w:tc>
        <w:tc>
          <w:tcPr>
            <w:tcW w:w="3402" w:type="dxa"/>
          </w:tcPr>
          <w:p w:rsidR="00EA1B60" w:rsidRPr="005E756E" w:rsidRDefault="00EA1B60" w:rsidP="00803E32">
            <w:pPr>
              <w:jc w:val="left"/>
              <w:rPr>
                <w:color w:val="0000FF"/>
              </w:rPr>
            </w:pPr>
            <w:r w:rsidRPr="005E756E">
              <w:rPr>
                <w:color w:val="0000FF"/>
              </w:rPr>
              <w:t>Based on time estimate of program director – 20%, half of this is for business management, half for program direction, grants, etc.</w:t>
            </w:r>
          </w:p>
        </w:tc>
        <w:tc>
          <w:tcPr>
            <w:tcW w:w="1418" w:type="dxa"/>
          </w:tcPr>
          <w:p w:rsidR="00EA1B60" w:rsidRPr="005E756E" w:rsidRDefault="00EA1B60" w:rsidP="00803E32">
            <w:pPr>
              <w:jc w:val="left"/>
              <w:rPr>
                <w:color w:val="0000FF"/>
              </w:rPr>
            </w:pPr>
            <w:r w:rsidRPr="005E756E">
              <w:rPr>
                <w:color w:val="0000FF"/>
              </w:rPr>
              <w:t>Yes</w:t>
            </w: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r w:rsidR="00EA1B60">
        <w:tc>
          <w:tcPr>
            <w:tcW w:w="2660" w:type="dxa"/>
          </w:tcPr>
          <w:p w:rsidR="00EA1B60" w:rsidRDefault="00EA1B60" w:rsidP="00803E32">
            <w:pPr>
              <w:jc w:val="left"/>
            </w:pPr>
          </w:p>
          <w:p w:rsidR="00EA1B60" w:rsidRDefault="00EA1B60" w:rsidP="00803E32">
            <w:pPr>
              <w:jc w:val="left"/>
            </w:pPr>
          </w:p>
          <w:p w:rsidR="00EA1B60" w:rsidRDefault="00EA1B60" w:rsidP="00803E32">
            <w:pPr>
              <w:jc w:val="left"/>
            </w:pPr>
          </w:p>
        </w:tc>
        <w:tc>
          <w:tcPr>
            <w:tcW w:w="1559" w:type="dxa"/>
          </w:tcPr>
          <w:p w:rsidR="00EA1B60" w:rsidRDefault="00EA1B60" w:rsidP="00803E32">
            <w:pPr>
              <w:jc w:val="left"/>
            </w:pPr>
          </w:p>
        </w:tc>
        <w:tc>
          <w:tcPr>
            <w:tcW w:w="1134" w:type="dxa"/>
          </w:tcPr>
          <w:p w:rsidR="00EA1B60" w:rsidRDefault="00EA1B60" w:rsidP="00803E32">
            <w:pPr>
              <w:jc w:val="left"/>
            </w:pPr>
          </w:p>
        </w:tc>
        <w:tc>
          <w:tcPr>
            <w:tcW w:w="3402" w:type="dxa"/>
          </w:tcPr>
          <w:p w:rsidR="00EA1B60" w:rsidRDefault="00EA1B60" w:rsidP="00803E32">
            <w:pPr>
              <w:jc w:val="left"/>
            </w:pPr>
          </w:p>
        </w:tc>
        <w:tc>
          <w:tcPr>
            <w:tcW w:w="1418" w:type="dxa"/>
          </w:tcPr>
          <w:p w:rsidR="00EA1B60" w:rsidRDefault="00EA1B60" w:rsidP="00803E32">
            <w:pPr>
              <w:jc w:val="left"/>
            </w:pPr>
          </w:p>
        </w:tc>
      </w:tr>
    </w:tbl>
    <w:p w:rsidR="00041612" w:rsidRDefault="00041612" w:rsidP="00803E32"/>
    <w:sectPr w:rsidR="00041612" w:rsidSect="005E756E">
      <w:head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C5" w:rsidRDefault="003C70C5" w:rsidP="00803E32">
      <w:pPr>
        <w:spacing w:after="0" w:line="240" w:lineRule="auto"/>
      </w:pPr>
      <w:r>
        <w:separator/>
      </w:r>
    </w:p>
  </w:endnote>
  <w:endnote w:type="continuationSeparator" w:id="0">
    <w:p w:rsidR="003C70C5" w:rsidRDefault="003C70C5" w:rsidP="0080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01D" w:rsidRDefault="007B4108" w:rsidP="00803E32">
    <w:pPr>
      <w:pStyle w:val="Footer"/>
      <w:spacing w:before="600"/>
      <w:jc w:val="right"/>
      <w:rPr>
        <w:color w:val="1A2674"/>
      </w:rPr>
    </w:pPr>
    <w:r>
      <w:rPr>
        <w:rFonts w:ascii="Candara" w:hAnsi="Candara"/>
        <w:noProof/>
        <w:color w:val="1A2674"/>
      </w:rPr>
      <w:drawing>
        <wp:anchor distT="0" distB="0" distL="114300" distR="114300" simplePos="0" relativeHeight="251659264" behindDoc="0" locked="0" layoutInCell="1" allowOverlap="1" wp14:anchorId="0F0605B0" wp14:editId="7514F7E4">
          <wp:simplePos x="0" y="0"/>
          <wp:positionH relativeFrom="column">
            <wp:posOffset>-193675</wp:posOffset>
          </wp:positionH>
          <wp:positionV relativeFrom="paragraph">
            <wp:posOffset>259715</wp:posOffset>
          </wp:positionV>
          <wp:extent cx="1866097" cy="590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nstratingvalue-venn-notext.jpg"/>
                  <pic:cNvPicPr/>
                </pic:nvPicPr>
                <pic:blipFill>
                  <a:blip r:embed="rId1">
                    <a:extLst>
                      <a:ext uri="{28A0092B-C50C-407E-A947-70E740481C1C}">
                        <a14:useLocalDpi xmlns:a14="http://schemas.microsoft.com/office/drawing/2010/main" val="0"/>
                      </a:ext>
                    </a:extLst>
                  </a:blip>
                  <a:stretch>
                    <a:fillRect/>
                  </a:stretch>
                </pic:blipFill>
                <pic:spPr>
                  <a:xfrm>
                    <a:off x="0" y="0"/>
                    <a:ext cx="1866097" cy="590550"/>
                  </a:xfrm>
                  <a:prstGeom prst="rect">
                    <a:avLst/>
                  </a:prstGeom>
                </pic:spPr>
              </pic:pic>
            </a:graphicData>
          </a:graphic>
          <wp14:sizeRelH relativeFrom="margin">
            <wp14:pctWidth>0</wp14:pctWidth>
          </wp14:sizeRelH>
          <wp14:sizeRelV relativeFrom="margin">
            <wp14:pctHeight>0</wp14:pctHeight>
          </wp14:sizeRelV>
        </wp:anchor>
      </w:drawing>
    </w:r>
    <w:r w:rsidR="00A65667" w:rsidRPr="00255297">
      <w:rPr>
        <w:color w:val="1A2674"/>
      </w:rPr>
      <w:fldChar w:fldCharType="begin"/>
    </w:r>
    <w:r w:rsidR="0035301D" w:rsidRPr="00255297">
      <w:rPr>
        <w:color w:val="1A2674"/>
      </w:rPr>
      <w:instrText xml:space="preserve"> PAGE   \* MERGEFORMAT </w:instrText>
    </w:r>
    <w:r w:rsidR="00A65667" w:rsidRPr="00255297">
      <w:rPr>
        <w:color w:val="1A2674"/>
      </w:rPr>
      <w:fldChar w:fldCharType="separate"/>
    </w:r>
    <w:r w:rsidR="00A961BC">
      <w:rPr>
        <w:noProof/>
        <w:color w:val="1A2674"/>
      </w:rPr>
      <w:t>1</w:t>
    </w:r>
    <w:r w:rsidR="00A65667" w:rsidRPr="00255297">
      <w:rPr>
        <w:color w:val="1A2674"/>
      </w:rPr>
      <w:fldChar w:fldCharType="end"/>
    </w:r>
    <w:r w:rsidR="0035301D">
      <w:rPr>
        <w:color w:val="1A2674"/>
      </w:rPr>
      <w:t xml:space="preserve"> | </w:t>
    </w:r>
    <w:r w:rsidR="0035301D">
      <w:rPr>
        <w:color w:val="1A2674"/>
        <w:spacing w:val="60"/>
      </w:rPr>
      <w:t>Page</w:t>
    </w:r>
  </w:p>
  <w:p w:rsidR="0035301D" w:rsidRDefault="00353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C5" w:rsidRDefault="003C70C5" w:rsidP="00803E32">
      <w:pPr>
        <w:spacing w:after="0" w:line="240" w:lineRule="auto"/>
      </w:pPr>
      <w:r>
        <w:separator/>
      </w:r>
    </w:p>
  </w:footnote>
  <w:footnote w:type="continuationSeparator" w:id="0">
    <w:p w:rsidR="003C70C5" w:rsidRDefault="003C70C5" w:rsidP="00803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rsidP="005E756E">
    <w:pPr>
      <w:pBdr>
        <w:bottom w:val="single" w:sz="4" w:space="1" w:color="8895E4"/>
      </w:pBdr>
      <w:spacing w:after="0"/>
      <w:jc w:val="left"/>
      <w:rPr>
        <w:rFonts w:ascii="Candara" w:hAnsi="Candara"/>
        <w:color w:val="1A2674"/>
      </w:rPr>
    </w:pPr>
    <w:r>
      <w:rPr>
        <w:rFonts w:ascii="Candara" w:hAnsi="Candara"/>
        <w:color w:val="1A2674"/>
      </w:rPr>
      <w:t>Identifying and Measuring Hidden Costs and Contributions</w:t>
    </w:r>
  </w:p>
  <w:p w:rsidR="005E756E" w:rsidRDefault="005E7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76909"/>
    <w:multiLevelType w:val="hybridMultilevel"/>
    <w:tmpl w:val="7A625F28"/>
    <w:lvl w:ilvl="0" w:tplc="0409000D">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252D49"/>
    <w:multiLevelType w:val="hybridMultilevel"/>
    <w:tmpl w:val="F22AFC22"/>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6E7F36"/>
    <w:multiLevelType w:val="hybridMultilevel"/>
    <w:tmpl w:val="F3E8A850"/>
    <w:lvl w:ilvl="0" w:tplc="2B1651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C7F2F00"/>
    <w:multiLevelType w:val="hybridMultilevel"/>
    <w:tmpl w:val="8C2E6BD4"/>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297B07"/>
    <w:multiLevelType w:val="hybridMultilevel"/>
    <w:tmpl w:val="4788A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A24AA4"/>
    <w:multiLevelType w:val="hybridMultilevel"/>
    <w:tmpl w:val="6FBA8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737C34"/>
    <w:multiLevelType w:val="hybridMultilevel"/>
    <w:tmpl w:val="5F9EB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12"/>
    <w:rsid w:val="00041612"/>
    <w:rsid w:val="003457B5"/>
    <w:rsid w:val="0035301D"/>
    <w:rsid w:val="003C10D0"/>
    <w:rsid w:val="003C70C5"/>
    <w:rsid w:val="004346AA"/>
    <w:rsid w:val="00435345"/>
    <w:rsid w:val="00435F9C"/>
    <w:rsid w:val="00510607"/>
    <w:rsid w:val="00511EC0"/>
    <w:rsid w:val="005441EB"/>
    <w:rsid w:val="005A505B"/>
    <w:rsid w:val="005E756E"/>
    <w:rsid w:val="007B4108"/>
    <w:rsid w:val="00803E32"/>
    <w:rsid w:val="008218AA"/>
    <w:rsid w:val="008870B6"/>
    <w:rsid w:val="00961E7A"/>
    <w:rsid w:val="00967821"/>
    <w:rsid w:val="00A65667"/>
    <w:rsid w:val="00A961BC"/>
    <w:rsid w:val="00C2361A"/>
    <w:rsid w:val="00C32405"/>
    <w:rsid w:val="00CA3CEE"/>
    <w:rsid w:val="00CD6038"/>
    <w:rsid w:val="00DC0413"/>
    <w:rsid w:val="00E52C15"/>
    <w:rsid w:val="00E83D11"/>
    <w:rsid w:val="00EA1B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qFormat="1"/>
    <w:lsdException w:name="footer" w:uiPriority="99"/>
    <w:lsdException w:name="Table Grid" w:uiPriority="59"/>
    <w:lsdException w:name="List Paragraph" w:uiPriority="99" w:qFormat="1"/>
  </w:latentStyles>
  <w:style w:type="paragraph" w:default="1" w:styleId="Normal">
    <w:name w:val="Normal"/>
    <w:qFormat/>
    <w:rsid w:val="00803E32"/>
    <w:pPr>
      <w:spacing w:line="276" w:lineRule="auto"/>
      <w:jc w:val="both"/>
    </w:pPr>
    <w:rPr>
      <w:rFonts w:ascii="Tw Cen MT" w:hAnsi="Tw Cen MT"/>
      <w:sz w:val="25"/>
    </w:rPr>
  </w:style>
  <w:style w:type="paragraph" w:styleId="Heading1">
    <w:name w:val="heading 1"/>
    <w:basedOn w:val="Normal"/>
    <w:next w:val="Normal"/>
    <w:link w:val="Heading1Char"/>
    <w:qFormat/>
    <w:rsid w:val="00CA3CEE"/>
    <w:pPr>
      <w:keepNext/>
      <w:spacing w:before="240" w:after="60"/>
      <w:outlineLvl w:val="0"/>
    </w:pPr>
    <w:rPr>
      <w:rFonts w:ascii="Candara" w:eastAsia="Times New Roman" w:hAnsi="Candara" w:cs="Times New Roman"/>
      <w:b/>
      <w:bCs/>
      <w:color w:val="28327C"/>
      <w:kern w:val="32"/>
      <w:sz w:val="36"/>
      <w:szCs w:val="28"/>
    </w:rPr>
  </w:style>
  <w:style w:type="paragraph" w:styleId="Heading2">
    <w:name w:val="heading 2"/>
    <w:basedOn w:val="Normal"/>
    <w:next w:val="Normal"/>
    <w:link w:val="Heading2Char"/>
    <w:rsid w:val="00511E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10D0"/>
    <w:pPr>
      <w:ind w:left="720"/>
      <w:contextualSpacing/>
    </w:pPr>
  </w:style>
  <w:style w:type="character" w:styleId="Hyperlink">
    <w:name w:val="Hyperlink"/>
    <w:basedOn w:val="DefaultParagraphFont"/>
    <w:uiPriority w:val="99"/>
    <w:unhideWhenUsed/>
    <w:rsid w:val="004346AA"/>
    <w:rPr>
      <w:color w:val="0000FF" w:themeColor="hyperlink"/>
      <w:u w:val="single"/>
    </w:rPr>
  </w:style>
  <w:style w:type="character" w:styleId="FollowedHyperlink">
    <w:name w:val="FollowedHyperlink"/>
    <w:basedOn w:val="DefaultParagraphFont"/>
    <w:uiPriority w:val="99"/>
    <w:semiHidden/>
    <w:unhideWhenUsed/>
    <w:rsid w:val="004346AA"/>
    <w:rPr>
      <w:color w:val="800080" w:themeColor="followedHyperlink"/>
      <w:u w:val="single"/>
    </w:rPr>
  </w:style>
  <w:style w:type="table" w:styleId="TableGrid">
    <w:name w:val="Table Grid"/>
    <w:basedOn w:val="TableNormal"/>
    <w:uiPriority w:val="59"/>
    <w:rsid w:val="00C3240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A3CEE"/>
    <w:rPr>
      <w:rFonts w:ascii="Candara" w:eastAsia="Times New Roman" w:hAnsi="Candara" w:cs="Times New Roman"/>
      <w:b/>
      <w:bCs/>
      <w:color w:val="28327C"/>
      <w:kern w:val="32"/>
      <w:sz w:val="36"/>
      <w:szCs w:val="28"/>
    </w:rPr>
  </w:style>
  <w:style w:type="character" w:customStyle="1" w:styleId="Heading2Char">
    <w:name w:val="Heading 2 Char"/>
    <w:basedOn w:val="DefaultParagraphFont"/>
    <w:link w:val="Heading2"/>
    <w:rsid w:val="00511E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511EC0"/>
    <w:pPr>
      <w:spacing w:after="0"/>
    </w:pPr>
    <w:rPr>
      <w:rFonts w:ascii="Tahoma" w:hAnsi="Tahoma" w:cs="Tahoma"/>
      <w:sz w:val="16"/>
      <w:szCs w:val="16"/>
    </w:rPr>
  </w:style>
  <w:style w:type="character" w:customStyle="1" w:styleId="BalloonTextChar">
    <w:name w:val="Balloon Text Char"/>
    <w:basedOn w:val="DefaultParagraphFont"/>
    <w:link w:val="BalloonText"/>
    <w:rsid w:val="00511EC0"/>
    <w:rPr>
      <w:rFonts w:ascii="Tahoma" w:hAnsi="Tahoma" w:cs="Tahoma"/>
      <w:sz w:val="16"/>
      <w:szCs w:val="16"/>
    </w:rPr>
  </w:style>
  <w:style w:type="paragraph" w:styleId="Header">
    <w:name w:val="header"/>
    <w:basedOn w:val="Normal"/>
    <w:link w:val="HeaderChar"/>
    <w:rsid w:val="00803E32"/>
    <w:pPr>
      <w:tabs>
        <w:tab w:val="center" w:pos="4680"/>
        <w:tab w:val="right" w:pos="9360"/>
      </w:tabs>
      <w:spacing w:after="0" w:line="240" w:lineRule="auto"/>
    </w:pPr>
  </w:style>
  <w:style w:type="character" w:customStyle="1" w:styleId="HeaderChar">
    <w:name w:val="Header Char"/>
    <w:basedOn w:val="DefaultParagraphFont"/>
    <w:link w:val="Header"/>
    <w:rsid w:val="00803E32"/>
    <w:rPr>
      <w:rFonts w:ascii="Tw Cen MT" w:hAnsi="Tw Cen MT"/>
      <w:sz w:val="25"/>
    </w:rPr>
  </w:style>
  <w:style w:type="paragraph" w:styleId="Footer">
    <w:name w:val="footer"/>
    <w:basedOn w:val="Normal"/>
    <w:link w:val="FooterChar"/>
    <w:uiPriority w:val="99"/>
    <w:rsid w:val="00803E32"/>
    <w:pPr>
      <w:tabs>
        <w:tab w:val="center" w:pos="4680"/>
        <w:tab w:val="right" w:pos="9360"/>
      </w:tabs>
      <w:spacing w:after="0" w:line="240" w:lineRule="auto"/>
    </w:pPr>
  </w:style>
  <w:style w:type="character" w:customStyle="1" w:styleId="FooterChar">
    <w:name w:val="Footer Char"/>
    <w:basedOn w:val="DefaultParagraphFont"/>
    <w:link w:val="Footer"/>
    <w:rsid w:val="00803E32"/>
    <w:rPr>
      <w:rFonts w:ascii="Tw Cen MT" w:hAnsi="Tw Cen MT"/>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qFormat="1"/>
    <w:lsdException w:name="footer" w:uiPriority="99"/>
    <w:lsdException w:name="Table Grid" w:uiPriority="59"/>
    <w:lsdException w:name="List Paragraph" w:uiPriority="99" w:qFormat="1"/>
  </w:latentStyles>
  <w:style w:type="paragraph" w:default="1" w:styleId="Normal">
    <w:name w:val="Normal"/>
    <w:qFormat/>
    <w:rsid w:val="00803E32"/>
    <w:pPr>
      <w:spacing w:line="276" w:lineRule="auto"/>
      <w:jc w:val="both"/>
    </w:pPr>
    <w:rPr>
      <w:rFonts w:ascii="Tw Cen MT" w:hAnsi="Tw Cen MT"/>
      <w:sz w:val="25"/>
    </w:rPr>
  </w:style>
  <w:style w:type="paragraph" w:styleId="Heading1">
    <w:name w:val="heading 1"/>
    <w:basedOn w:val="Normal"/>
    <w:next w:val="Normal"/>
    <w:link w:val="Heading1Char"/>
    <w:qFormat/>
    <w:rsid w:val="00CA3CEE"/>
    <w:pPr>
      <w:keepNext/>
      <w:spacing w:before="240" w:after="60"/>
      <w:outlineLvl w:val="0"/>
    </w:pPr>
    <w:rPr>
      <w:rFonts w:ascii="Candara" w:eastAsia="Times New Roman" w:hAnsi="Candara" w:cs="Times New Roman"/>
      <w:b/>
      <w:bCs/>
      <w:color w:val="28327C"/>
      <w:kern w:val="32"/>
      <w:sz w:val="36"/>
      <w:szCs w:val="28"/>
    </w:rPr>
  </w:style>
  <w:style w:type="paragraph" w:styleId="Heading2">
    <w:name w:val="heading 2"/>
    <w:basedOn w:val="Normal"/>
    <w:next w:val="Normal"/>
    <w:link w:val="Heading2Char"/>
    <w:rsid w:val="00511E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10D0"/>
    <w:pPr>
      <w:ind w:left="720"/>
      <w:contextualSpacing/>
    </w:pPr>
  </w:style>
  <w:style w:type="character" w:styleId="Hyperlink">
    <w:name w:val="Hyperlink"/>
    <w:basedOn w:val="DefaultParagraphFont"/>
    <w:uiPriority w:val="99"/>
    <w:unhideWhenUsed/>
    <w:rsid w:val="004346AA"/>
    <w:rPr>
      <w:color w:val="0000FF" w:themeColor="hyperlink"/>
      <w:u w:val="single"/>
    </w:rPr>
  </w:style>
  <w:style w:type="character" w:styleId="FollowedHyperlink">
    <w:name w:val="FollowedHyperlink"/>
    <w:basedOn w:val="DefaultParagraphFont"/>
    <w:uiPriority w:val="99"/>
    <w:semiHidden/>
    <w:unhideWhenUsed/>
    <w:rsid w:val="004346AA"/>
    <w:rPr>
      <w:color w:val="800080" w:themeColor="followedHyperlink"/>
      <w:u w:val="single"/>
    </w:rPr>
  </w:style>
  <w:style w:type="table" w:styleId="TableGrid">
    <w:name w:val="Table Grid"/>
    <w:basedOn w:val="TableNormal"/>
    <w:uiPriority w:val="59"/>
    <w:rsid w:val="00C3240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A3CEE"/>
    <w:rPr>
      <w:rFonts w:ascii="Candara" w:eastAsia="Times New Roman" w:hAnsi="Candara" w:cs="Times New Roman"/>
      <w:b/>
      <w:bCs/>
      <w:color w:val="28327C"/>
      <w:kern w:val="32"/>
      <w:sz w:val="36"/>
      <w:szCs w:val="28"/>
    </w:rPr>
  </w:style>
  <w:style w:type="character" w:customStyle="1" w:styleId="Heading2Char">
    <w:name w:val="Heading 2 Char"/>
    <w:basedOn w:val="DefaultParagraphFont"/>
    <w:link w:val="Heading2"/>
    <w:rsid w:val="00511E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511EC0"/>
    <w:pPr>
      <w:spacing w:after="0"/>
    </w:pPr>
    <w:rPr>
      <w:rFonts w:ascii="Tahoma" w:hAnsi="Tahoma" w:cs="Tahoma"/>
      <w:sz w:val="16"/>
      <w:szCs w:val="16"/>
    </w:rPr>
  </w:style>
  <w:style w:type="character" w:customStyle="1" w:styleId="BalloonTextChar">
    <w:name w:val="Balloon Text Char"/>
    <w:basedOn w:val="DefaultParagraphFont"/>
    <w:link w:val="BalloonText"/>
    <w:rsid w:val="00511EC0"/>
    <w:rPr>
      <w:rFonts w:ascii="Tahoma" w:hAnsi="Tahoma" w:cs="Tahoma"/>
      <w:sz w:val="16"/>
      <w:szCs w:val="16"/>
    </w:rPr>
  </w:style>
  <w:style w:type="paragraph" w:styleId="Header">
    <w:name w:val="header"/>
    <w:basedOn w:val="Normal"/>
    <w:link w:val="HeaderChar"/>
    <w:rsid w:val="00803E32"/>
    <w:pPr>
      <w:tabs>
        <w:tab w:val="center" w:pos="4680"/>
        <w:tab w:val="right" w:pos="9360"/>
      </w:tabs>
      <w:spacing w:after="0" w:line="240" w:lineRule="auto"/>
    </w:pPr>
  </w:style>
  <w:style w:type="character" w:customStyle="1" w:styleId="HeaderChar">
    <w:name w:val="Header Char"/>
    <w:basedOn w:val="DefaultParagraphFont"/>
    <w:link w:val="Header"/>
    <w:rsid w:val="00803E32"/>
    <w:rPr>
      <w:rFonts w:ascii="Tw Cen MT" w:hAnsi="Tw Cen MT"/>
      <w:sz w:val="25"/>
    </w:rPr>
  </w:style>
  <w:style w:type="paragraph" w:styleId="Footer">
    <w:name w:val="footer"/>
    <w:basedOn w:val="Normal"/>
    <w:link w:val="FooterChar"/>
    <w:uiPriority w:val="99"/>
    <w:rsid w:val="00803E32"/>
    <w:pPr>
      <w:tabs>
        <w:tab w:val="center" w:pos="4680"/>
        <w:tab w:val="right" w:pos="9360"/>
      </w:tabs>
      <w:spacing w:after="0" w:line="240" w:lineRule="auto"/>
    </w:pPr>
  </w:style>
  <w:style w:type="character" w:customStyle="1" w:styleId="FooterChar">
    <w:name w:val="Footer Char"/>
    <w:basedOn w:val="DefaultParagraphFont"/>
    <w:link w:val="Footer"/>
    <w:rsid w:val="00803E32"/>
    <w:rPr>
      <w:rFonts w:ascii="Tw Cen MT" w:hAnsi="Tw Cen MT"/>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monstratingvalue.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ctorsource.ca/sites/default/files/resources/files/Quarter_Estimating_Reporting_Fina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monstratingvalue.org/resources/true-cost-picture-workbook" TargetMode="External"/><Relationship Id="rId5" Type="http://schemas.openxmlformats.org/officeDocument/2006/relationships/webSettings" Target="webSettings.xml"/><Relationship Id="rId15" Type="http://schemas.openxmlformats.org/officeDocument/2006/relationships/hyperlink" Target="http://www.nald.ca/FULLTEXT/heritage/ComPartnE/EstVolE.htm" TargetMode="External"/><Relationship Id="rId10" Type="http://schemas.openxmlformats.org/officeDocument/2006/relationships/hyperlink" Target="http://www.demonstratingvalue.org/resources/financial-intelligence-guide-social-enterpri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Vancity Savings Credit Union</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 Bernie Poznanski</dc:creator>
  <cp:lastModifiedBy>Bryn Sadownik</cp:lastModifiedBy>
  <cp:revision>3</cp:revision>
  <dcterms:created xsi:type="dcterms:W3CDTF">2013-12-17T21:14:00Z</dcterms:created>
  <dcterms:modified xsi:type="dcterms:W3CDTF">2013-12-17T21:20:00Z</dcterms:modified>
</cp:coreProperties>
</file>